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3DE9D90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D96427" w:rsidRPr="00D96427">
        <w:rPr>
          <w:rFonts w:cs="Arial"/>
          <w:noProof w:val="0"/>
          <w:sz w:val="24"/>
        </w:rPr>
        <w:t>R4-2101235</w:t>
      </w:r>
    </w:p>
    <w:p w14:paraId="1C935CB1" w14:textId="1493BDD0"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D96427">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62BA416"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AF1F12">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2F01A3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96427" w:rsidRPr="00D96427">
        <w:rPr>
          <w:rFonts w:ascii="Arial" w:hAnsi="Arial" w:cs="Arial"/>
          <w:b/>
          <w:sz w:val="24"/>
        </w:rPr>
        <w:t>Simulation results for NR V2X Single Link PSBCH requirements</w:t>
      </w:r>
      <w:bookmarkStart w:id="1" w:name="_GoBack"/>
      <w:bookmarkEnd w:id="1"/>
    </w:p>
    <w:p w14:paraId="7918BCE0" w14:textId="3E51819C"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C21860">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66C3DDAC"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721965">
        <w:rPr>
          <w:lang w:val="en-US"/>
        </w:rPr>
        <w:t>.</w:t>
      </w:r>
    </w:p>
    <w:p w14:paraId="7FABA9DB" w14:textId="15DB724E" w:rsidR="00111C53" w:rsidRDefault="005E7A47" w:rsidP="00CF667C">
      <w:pPr>
        <w:jc w:val="both"/>
      </w:pPr>
      <w:r>
        <w:t xml:space="preserve">In this paper we provide </w:t>
      </w:r>
      <w:r w:rsidR="00C21860">
        <w:t xml:space="preserve">alignment and impairment results for </w:t>
      </w:r>
      <w:r w:rsidR="00AA61BE" w:rsidRPr="00AA61BE">
        <w:t>NR V2X Single link PSBCH requirements</w:t>
      </w:r>
      <w:r w:rsidR="00FE1D5D">
        <w:t>.</w:t>
      </w:r>
    </w:p>
    <w:p w14:paraId="194E9AB4" w14:textId="78105EE8" w:rsidR="00CF667C" w:rsidRPr="00146B4F" w:rsidRDefault="00AA61BE" w:rsidP="00414EF6">
      <w:pPr>
        <w:pStyle w:val="Heading1"/>
      </w:pPr>
      <w:r>
        <w:t>Simulation results</w:t>
      </w:r>
    </w:p>
    <w:p w14:paraId="05B5B047" w14:textId="3F644055" w:rsidR="00A142AD" w:rsidRDefault="00C73102" w:rsidP="00A142AD">
      <w:pPr>
        <w:rPr>
          <w:lang w:eastAsia="ja-JP" w:bidi="hi-IN"/>
        </w:rPr>
      </w:pPr>
      <w:r>
        <w:rPr>
          <w:lang w:eastAsia="ja-JP" w:bidi="hi-IN"/>
        </w:rPr>
        <w:t>In the previous RAN4 meeting the following agreements were reached for PSBCH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73102" w14:paraId="609AAFDD" w14:textId="77777777" w:rsidTr="00F27763">
        <w:tc>
          <w:tcPr>
            <w:tcW w:w="9855" w:type="dxa"/>
            <w:shd w:val="clear" w:color="auto" w:fill="auto"/>
          </w:tcPr>
          <w:p w14:paraId="48A5CA21" w14:textId="77777777" w:rsidR="009B6AB9" w:rsidRPr="009B6AB9" w:rsidRDefault="009B6AB9" w:rsidP="009B6AB9">
            <w:pPr>
              <w:numPr>
                <w:ilvl w:val="0"/>
                <w:numId w:val="11"/>
              </w:numPr>
              <w:tabs>
                <w:tab w:val="num" w:pos="2880"/>
              </w:tabs>
              <w:spacing w:before="60" w:after="60" w:line="280" w:lineRule="atLeast"/>
              <w:jc w:val="both"/>
              <w:rPr>
                <w:i/>
                <w:lang w:val="en-US"/>
              </w:rPr>
            </w:pPr>
            <w:r w:rsidRPr="009B6AB9">
              <w:rPr>
                <w:i/>
                <w:lang w:val="en-US"/>
              </w:rPr>
              <w:t>The number of S-SSB per one period</w:t>
            </w:r>
          </w:p>
          <w:p w14:paraId="1B482C55" w14:textId="77777777" w:rsidR="009B6AB9" w:rsidRPr="009B6AB9" w:rsidRDefault="009B6AB9" w:rsidP="009B6AB9">
            <w:pPr>
              <w:numPr>
                <w:ilvl w:val="1"/>
                <w:numId w:val="11"/>
              </w:numPr>
              <w:tabs>
                <w:tab w:val="num" w:pos="2880"/>
              </w:tabs>
              <w:spacing w:before="60" w:after="60" w:line="280" w:lineRule="atLeast"/>
              <w:jc w:val="both"/>
              <w:rPr>
                <w:i/>
                <w:lang w:val="en-US"/>
              </w:rPr>
            </w:pPr>
            <w:r w:rsidRPr="009B6AB9">
              <w:rPr>
                <w:i/>
                <w:lang w:val="en-US"/>
              </w:rPr>
              <w:t>1 S-SSB</w:t>
            </w:r>
          </w:p>
          <w:p w14:paraId="3AD97246" w14:textId="77777777" w:rsidR="009B6AB9" w:rsidRPr="009B6AB9" w:rsidRDefault="009B6AB9" w:rsidP="009B6AB9">
            <w:pPr>
              <w:numPr>
                <w:ilvl w:val="0"/>
                <w:numId w:val="11"/>
              </w:numPr>
              <w:tabs>
                <w:tab w:val="num" w:pos="1440"/>
                <w:tab w:val="num" w:pos="2880"/>
              </w:tabs>
              <w:spacing w:before="60" w:after="60" w:line="280" w:lineRule="atLeast"/>
              <w:jc w:val="both"/>
              <w:rPr>
                <w:i/>
                <w:lang w:val="en-US"/>
              </w:rPr>
            </w:pPr>
            <w:r w:rsidRPr="009B6AB9">
              <w:rPr>
                <w:i/>
                <w:lang w:val="en-US"/>
              </w:rPr>
              <w:t xml:space="preserve">Relative velocity </w:t>
            </w:r>
          </w:p>
          <w:p w14:paraId="3F6A004F" w14:textId="0CC569EB" w:rsidR="00C73102" w:rsidRPr="009B6AB9" w:rsidRDefault="009B6AB9" w:rsidP="009B6AB9">
            <w:pPr>
              <w:numPr>
                <w:ilvl w:val="1"/>
                <w:numId w:val="11"/>
              </w:numPr>
              <w:tabs>
                <w:tab w:val="num" w:pos="2880"/>
              </w:tabs>
              <w:spacing w:before="60" w:after="60" w:line="280" w:lineRule="atLeast"/>
              <w:jc w:val="both"/>
              <w:rPr>
                <w:i/>
                <w:lang w:val="en-US"/>
              </w:rPr>
            </w:pPr>
            <w:r w:rsidRPr="009B6AB9">
              <w:rPr>
                <w:i/>
                <w:lang w:val="en-US"/>
              </w:rPr>
              <w:t>30km/h (TDLA30-180)</w:t>
            </w:r>
          </w:p>
        </w:tc>
      </w:tr>
    </w:tbl>
    <w:p w14:paraId="43615508" w14:textId="79E04B8A" w:rsidR="00C21A9A" w:rsidRPr="005F209A" w:rsidRDefault="00C21A9A" w:rsidP="00161372">
      <w:pPr>
        <w:rPr>
          <w:bCs/>
        </w:rPr>
      </w:pPr>
      <w:r w:rsidRPr="005F209A">
        <w:rPr>
          <w:bCs/>
        </w:rPr>
        <w:t xml:space="preserve">In </w:t>
      </w:r>
      <w:r w:rsidRPr="005F209A">
        <w:rPr>
          <w:bCs/>
        </w:rPr>
        <w:fldChar w:fldCharType="begin"/>
      </w:r>
      <w:r w:rsidRPr="005F209A">
        <w:rPr>
          <w:bCs/>
        </w:rPr>
        <w:instrText xml:space="preserve"> REF _Ref54388791 \h </w:instrText>
      </w:r>
      <w:r w:rsidR="005F209A" w:rsidRPr="005F209A">
        <w:rPr>
          <w:bCs/>
        </w:rPr>
        <w:instrText xml:space="preserve"> \* MERGEFORMAT </w:instrText>
      </w:r>
      <w:r w:rsidRPr="005F209A">
        <w:rPr>
          <w:bCs/>
        </w:rPr>
      </w:r>
      <w:r w:rsidRPr="005F209A">
        <w:rPr>
          <w:bCs/>
        </w:rPr>
        <w:fldChar w:fldCharType="separate"/>
      </w:r>
      <w:r w:rsidR="009B6AB9" w:rsidRPr="009B6AB9">
        <w:rPr>
          <w:bCs/>
        </w:rPr>
        <w:t xml:space="preserve">Figure </w:t>
      </w:r>
      <w:r w:rsidR="009B6AB9" w:rsidRPr="009B6AB9">
        <w:rPr>
          <w:bCs/>
          <w:noProof/>
        </w:rPr>
        <w:t>1</w:t>
      </w:r>
      <w:r w:rsidRPr="005F209A">
        <w:rPr>
          <w:bCs/>
        </w:rPr>
        <w:fldChar w:fldCharType="end"/>
      </w:r>
      <w:r w:rsidRPr="005F209A">
        <w:rPr>
          <w:bCs/>
        </w:rPr>
        <w:t xml:space="preserve"> we provide initial</w:t>
      </w:r>
      <w:r w:rsidR="005F209A" w:rsidRPr="005F209A">
        <w:rPr>
          <w:bCs/>
        </w:rPr>
        <w:t xml:space="preserve"> PSBCH</w:t>
      </w:r>
      <w:r w:rsidRPr="005F209A">
        <w:rPr>
          <w:bCs/>
        </w:rPr>
        <w:t xml:space="preserve"> </w:t>
      </w:r>
      <w:r w:rsidR="005F209A" w:rsidRPr="005F209A">
        <w:rPr>
          <w:bCs/>
        </w:rPr>
        <w:t>performance analysis for different channel models.</w:t>
      </w:r>
      <w:r w:rsidR="009B6AB9">
        <w:rPr>
          <w:bCs/>
        </w:rPr>
        <w:t xml:space="preserve"> In </w:t>
      </w:r>
      <w:r w:rsidR="009B6AB9">
        <w:rPr>
          <w:bCs/>
        </w:rPr>
        <w:fldChar w:fldCharType="begin"/>
      </w:r>
      <w:r w:rsidR="009B6AB9">
        <w:rPr>
          <w:bCs/>
        </w:rPr>
        <w:instrText xml:space="preserve"> REF _Ref61172687 \h </w:instrText>
      </w:r>
      <w:r w:rsidR="009B6AB9">
        <w:rPr>
          <w:bCs/>
        </w:rPr>
      </w:r>
      <w:r w:rsidR="009B6AB9">
        <w:rPr>
          <w:bCs/>
        </w:rPr>
        <w:fldChar w:fldCharType="separate"/>
      </w:r>
      <w:r w:rsidR="009B6AB9">
        <w:t xml:space="preserve">Table </w:t>
      </w:r>
      <w:r w:rsidR="009B6AB9">
        <w:rPr>
          <w:noProof/>
        </w:rPr>
        <w:t>1</w:t>
      </w:r>
      <w:r w:rsidR="009B6AB9">
        <w:rPr>
          <w:bCs/>
        </w:rPr>
        <w:fldChar w:fldCharType="end"/>
      </w:r>
      <w:r w:rsidR="009B6AB9">
        <w:rPr>
          <w:bCs/>
        </w:rPr>
        <w:t xml:space="preserve"> we provide alignment and impairment PSBCH results.</w:t>
      </w:r>
    </w:p>
    <w:tbl>
      <w:tblPr>
        <w:tblStyle w:val="TableGrid"/>
        <w:tblW w:w="0" w:type="auto"/>
        <w:tblLook w:val="04A0" w:firstRow="1" w:lastRow="0" w:firstColumn="1" w:lastColumn="0" w:noHBand="0" w:noVBand="1"/>
      </w:tblPr>
      <w:tblGrid>
        <w:gridCol w:w="9855"/>
      </w:tblGrid>
      <w:tr w:rsidR="00C21A9A" w14:paraId="23C19334" w14:textId="77777777" w:rsidTr="00C21A9A">
        <w:tc>
          <w:tcPr>
            <w:tcW w:w="9855" w:type="dxa"/>
          </w:tcPr>
          <w:p w14:paraId="3F831B78" w14:textId="332B6725" w:rsidR="00C21A9A" w:rsidRDefault="00D96427" w:rsidP="00265571">
            <w:pPr>
              <w:jc w:val="center"/>
              <w:rPr>
                <w:b/>
              </w:rPr>
            </w:pPr>
            <w:r>
              <w:rPr>
                <w:b/>
              </w:rPr>
              <w:pict w14:anchorId="480AA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5pt;height:165.75pt">
                  <v:imagedata r:id="rId12" o:title=""/>
                </v:shape>
              </w:pict>
            </w:r>
          </w:p>
        </w:tc>
      </w:tr>
      <w:tr w:rsidR="00C21A9A" w14:paraId="25D2782D" w14:textId="77777777" w:rsidTr="00C21A9A">
        <w:tc>
          <w:tcPr>
            <w:tcW w:w="9855" w:type="dxa"/>
          </w:tcPr>
          <w:p w14:paraId="5438E5BD" w14:textId="19FB94B9" w:rsidR="00C21A9A" w:rsidRDefault="00C21A9A" w:rsidP="00C21A9A">
            <w:pPr>
              <w:pStyle w:val="Caption"/>
              <w:jc w:val="center"/>
              <w:rPr>
                <w:b w:val="0"/>
              </w:rPr>
            </w:pPr>
            <w:bookmarkStart w:id="3" w:name="_Ref54388791"/>
            <w:r>
              <w:t xml:space="preserve">Figure </w:t>
            </w:r>
            <w:r>
              <w:fldChar w:fldCharType="begin"/>
            </w:r>
            <w:r>
              <w:instrText xml:space="preserve"> SEQ Figure \* ARABIC </w:instrText>
            </w:r>
            <w:r>
              <w:fldChar w:fldCharType="separate"/>
            </w:r>
            <w:r w:rsidR="009B6AB9">
              <w:rPr>
                <w:noProof/>
              </w:rPr>
              <w:t>1</w:t>
            </w:r>
            <w:r>
              <w:fldChar w:fldCharType="end"/>
            </w:r>
            <w:bookmarkEnd w:id="3"/>
            <w:r>
              <w:t xml:space="preserve">. PSBCH </w:t>
            </w:r>
            <w:r w:rsidR="009B6AB9">
              <w:t>simulation results</w:t>
            </w:r>
          </w:p>
        </w:tc>
      </w:tr>
    </w:tbl>
    <w:p w14:paraId="21C48920" w14:textId="77777777" w:rsidR="009B6AB9" w:rsidRPr="009B6AB9" w:rsidRDefault="009B6AB9" w:rsidP="00161372">
      <w:pPr>
        <w:rPr>
          <w:bCs/>
        </w:rPr>
      </w:pPr>
    </w:p>
    <w:p w14:paraId="0BAFB9F0" w14:textId="59A42277" w:rsidR="009B6AB9" w:rsidRDefault="009B6AB9" w:rsidP="009B6AB9">
      <w:pPr>
        <w:pStyle w:val="Caption"/>
      </w:pPr>
      <w:bookmarkStart w:id="4" w:name="_Ref61172687"/>
      <w:r>
        <w:t xml:space="preserve">Table </w:t>
      </w:r>
      <w:r>
        <w:fldChar w:fldCharType="begin"/>
      </w:r>
      <w:r>
        <w:instrText xml:space="preserve"> SEQ Table \* ARABIC </w:instrText>
      </w:r>
      <w:r>
        <w:fldChar w:fldCharType="separate"/>
      </w:r>
      <w:r>
        <w:rPr>
          <w:noProof/>
        </w:rPr>
        <w:t>1</w:t>
      </w:r>
      <w:r>
        <w:fldChar w:fldCharType="end"/>
      </w:r>
      <w:bookmarkEnd w:id="4"/>
      <w:r>
        <w:t>. Summary of PSBCH simulation results</w:t>
      </w:r>
    </w:p>
    <w:tbl>
      <w:tblPr>
        <w:tblStyle w:val="TableGrid"/>
        <w:tblW w:w="0" w:type="auto"/>
        <w:jc w:val="center"/>
        <w:tblLook w:val="04A0" w:firstRow="1" w:lastRow="0" w:firstColumn="1" w:lastColumn="0" w:noHBand="0" w:noVBand="1"/>
      </w:tblPr>
      <w:tblGrid>
        <w:gridCol w:w="3793"/>
        <w:gridCol w:w="3794"/>
      </w:tblGrid>
      <w:tr w:rsidR="009B6AB9" w14:paraId="142AB039" w14:textId="77777777" w:rsidTr="009B6AB9">
        <w:trPr>
          <w:jc w:val="center"/>
        </w:trPr>
        <w:tc>
          <w:tcPr>
            <w:tcW w:w="3793" w:type="dxa"/>
            <w:shd w:val="clear" w:color="auto" w:fill="D9E2F3" w:themeFill="accent1" w:themeFillTint="33"/>
          </w:tcPr>
          <w:p w14:paraId="18100CCB" w14:textId="188AE0C3" w:rsidR="009B6AB9" w:rsidRPr="009B6AB9" w:rsidRDefault="009B6AB9" w:rsidP="009B6AB9">
            <w:pPr>
              <w:spacing w:before="0" w:after="0"/>
              <w:jc w:val="center"/>
              <w:rPr>
                <w:b/>
              </w:rPr>
            </w:pPr>
            <w:r w:rsidRPr="009B6AB9">
              <w:rPr>
                <w:b/>
              </w:rPr>
              <w:t>Alignment results</w:t>
            </w:r>
          </w:p>
        </w:tc>
        <w:tc>
          <w:tcPr>
            <w:tcW w:w="3794" w:type="dxa"/>
            <w:shd w:val="clear" w:color="auto" w:fill="D9E2F3" w:themeFill="accent1" w:themeFillTint="33"/>
          </w:tcPr>
          <w:p w14:paraId="3AC78AF5" w14:textId="220B9DD1" w:rsidR="009B6AB9" w:rsidRPr="009B6AB9" w:rsidRDefault="009B6AB9" w:rsidP="009B6AB9">
            <w:pPr>
              <w:spacing w:before="0" w:after="0"/>
              <w:jc w:val="center"/>
              <w:rPr>
                <w:b/>
              </w:rPr>
            </w:pPr>
            <w:r w:rsidRPr="009B6AB9">
              <w:rPr>
                <w:b/>
              </w:rPr>
              <w:t>Impairment results</w:t>
            </w:r>
          </w:p>
        </w:tc>
      </w:tr>
      <w:tr w:rsidR="009B6AB9" w14:paraId="2B5482B9" w14:textId="77777777" w:rsidTr="009B6AB9">
        <w:trPr>
          <w:jc w:val="center"/>
        </w:trPr>
        <w:tc>
          <w:tcPr>
            <w:tcW w:w="3793" w:type="dxa"/>
          </w:tcPr>
          <w:p w14:paraId="44B73EAB" w14:textId="4CB44FEA" w:rsidR="009B6AB9" w:rsidRDefault="007A2E43" w:rsidP="007A2E43">
            <w:pPr>
              <w:spacing w:before="0" w:after="0"/>
              <w:jc w:val="center"/>
              <w:rPr>
                <w:bCs/>
              </w:rPr>
            </w:pPr>
            <w:r w:rsidRPr="007A2E43">
              <w:rPr>
                <w:bCs/>
              </w:rPr>
              <w:t>0.3</w:t>
            </w:r>
          </w:p>
        </w:tc>
        <w:tc>
          <w:tcPr>
            <w:tcW w:w="3794" w:type="dxa"/>
          </w:tcPr>
          <w:p w14:paraId="44EBF64B" w14:textId="3491E338" w:rsidR="009B6AB9" w:rsidRDefault="007A2E43" w:rsidP="007A2E43">
            <w:pPr>
              <w:spacing w:before="0" w:after="0"/>
              <w:jc w:val="center"/>
              <w:rPr>
                <w:bCs/>
              </w:rPr>
            </w:pPr>
            <w:r>
              <w:rPr>
                <w:bCs/>
              </w:rPr>
              <w:t>1.8</w:t>
            </w:r>
          </w:p>
        </w:tc>
      </w:tr>
    </w:tbl>
    <w:p w14:paraId="3E36B615" w14:textId="77777777" w:rsidR="009B6AB9" w:rsidRPr="009B6AB9" w:rsidRDefault="009B6AB9" w:rsidP="00161372">
      <w:pPr>
        <w:rPr>
          <w:bCs/>
        </w:rPr>
      </w:pPr>
    </w:p>
    <w:p w14:paraId="5792EF79" w14:textId="77777777" w:rsidR="000D4B18" w:rsidRPr="00146B4F" w:rsidRDefault="000D4B18" w:rsidP="009A2615">
      <w:pPr>
        <w:pStyle w:val="Heading1"/>
      </w:pPr>
      <w:r w:rsidRPr="00146B4F">
        <w:t>Conclusion</w:t>
      </w:r>
    </w:p>
    <w:p w14:paraId="3AF9CFD8" w14:textId="5C93D119" w:rsidR="002B4C37" w:rsidRDefault="008F0FEC" w:rsidP="001B32E7">
      <w:pPr>
        <w:tabs>
          <w:tab w:val="left" w:pos="709"/>
        </w:tabs>
        <w:spacing w:before="60" w:after="60"/>
        <w:jc w:val="both"/>
      </w:pPr>
      <w:r>
        <w:t xml:space="preserve">In this paper we provided </w:t>
      </w:r>
      <w:r w:rsidR="004A4380">
        <w:t xml:space="preserve">alignment and impairment results for </w:t>
      </w:r>
      <w:r w:rsidR="004A4380" w:rsidRPr="00AA61BE">
        <w:t>NR V2X Single link PSBCH requirements</w:t>
      </w:r>
      <w:r w:rsidR="004A4380">
        <w:t>.</w:t>
      </w:r>
    </w:p>
    <w:p w14:paraId="5FB25183" w14:textId="77777777" w:rsidR="001E216A" w:rsidRPr="00146B4F" w:rsidRDefault="001E216A" w:rsidP="009A2615">
      <w:pPr>
        <w:pStyle w:val="Heading1"/>
      </w:pPr>
      <w:r w:rsidRPr="00146B4F">
        <w:lastRenderedPageBreak/>
        <w:t>References</w:t>
      </w:r>
    </w:p>
    <w:p w14:paraId="655F1272" w14:textId="68DD095F" w:rsidR="004615C7" w:rsidRPr="004615C7" w:rsidRDefault="004615C7" w:rsidP="00721965">
      <w:pPr>
        <w:widowControl w:val="0"/>
        <w:numPr>
          <w:ilvl w:val="0"/>
          <w:numId w:val="2"/>
        </w:numPr>
        <w:jc w:val="both"/>
        <w:rPr>
          <w:lang w:val="en-US"/>
        </w:rPr>
      </w:pPr>
      <w:bookmarkStart w:id="5" w:name="_Ref39839544"/>
      <w:bookmarkStart w:id="6" w:name="_Ref31892213"/>
      <w:bookmarkStart w:id="7" w:name="_Ref12973084"/>
      <w:bookmarkStart w:id="8" w:name="_Ref47633322"/>
      <w:r w:rsidRPr="004615C7">
        <w:rPr>
          <w:lang w:val="en-US"/>
        </w:rPr>
        <w:t>R4-2017687</w:t>
      </w:r>
      <w:r>
        <w:rPr>
          <w:lang w:val="en-US"/>
        </w:rPr>
        <w:t xml:space="preserve"> “</w:t>
      </w:r>
      <w:r w:rsidR="00331086" w:rsidRPr="00331086">
        <w:rPr>
          <w:lang w:val="en-US"/>
        </w:rPr>
        <w:t>WF on single link tests for NR V2X demodulation performance</w:t>
      </w:r>
      <w:r>
        <w:rPr>
          <w:lang w:val="en-US"/>
        </w:rPr>
        <w:t>”</w:t>
      </w:r>
      <w:r w:rsidR="00331086" w:rsidRPr="00331086">
        <w:t xml:space="preserve"> </w:t>
      </w:r>
      <w:r w:rsidR="00331086">
        <w:t>, LGE, RAN4 #97-e, November 2020.</w:t>
      </w:r>
    </w:p>
    <w:p w14:paraId="50FE001F" w14:textId="2EF77B8A" w:rsidR="000835AA" w:rsidRPr="004A4380" w:rsidRDefault="004A4380" w:rsidP="004A4380">
      <w:pPr>
        <w:widowControl w:val="0"/>
        <w:numPr>
          <w:ilvl w:val="0"/>
          <w:numId w:val="2"/>
        </w:numPr>
        <w:jc w:val="both"/>
        <w:rPr>
          <w:lang w:val="en-US"/>
        </w:rPr>
      </w:pPr>
      <w:bookmarkStart w:id="9" w:name="_Ref61172179"/>
      <w:bookmarkEnd w:id="5"/>
      <w:bookmarkEnd w:id="6"/>
      <w:bookmarkEnd w:id="7"/>
      <w:bookmarkEnd w:id="8"/>
      <w:r w:rsidRPr="0035016E">
        <w:rPr>
          <w:lang w:val="en-US"/>
        </w:rPr>
        <w:t>R4-2017470</w:t>
      </w:r>
      <w:r>
        <w:rPr>
          <w:lang w:val="en-US"/>
        </w:rPr>
        <w:t xml:space="preserve"> “</w:t>
      </w:r>
      <w:r w:rsidRPr="00DA571D">
        <w:rPr>
          <w:lang w:val="en-US"/>
        </w:rPr>
        <w:t>Simulation assumptions for V2X single link test cases</w:t>
      </w:r>
      <w:r>
        <w:rPr>
          <w:lang w:val="en-US"/>
        </w:rPr>
        <w:t>”</w:t>
      </w:r>
      <w:r>
        <w:t xml:space="preserve">, </w:t>
      </w:r>
      <w:r w:rsidRPr="00F60A82">
        <w:t>Huawei, HiSilicon</w:t>
      </w:r>
      <w:r>
        <w:t>, RAN4 #97-e, November 2020.</w:t>
      </w:r>
      <w:bookmarkEnd w:id="9"/>
    </w:p>
    <w:sectPr w:rsidR="000835AA" w:rsidRPr="004A4380"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785E" w14:textId="77777777" w:rsidR="00F27763" w:rsidRDefault="00F27763">
      <w:r>
        <w:separator/>
      </w:r>
    </w:p>
  </w:endnote>
  <w:endnote w:type="continuationSeparator" w:id="0">
    <w:p w14:paraId="35775EF4" w14:textId="77777777" w:rsidR="00F27763" w:rsidRDefault="00F27763">
      <w:r>
        <w:continuationSeparator/>
      </w:r>
    </w:p>
  </w:endnote>
  <w:endnote w:type="continuationNotice" w:id="1">
    <w:p w14:paraId="0CEB0782" w14:textId="77777777" w:rsidR="00F27763" w:rsidRDefault="00F2776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4460C" w14:textId="77777777" w:rsidR="00F27763" w:rsidRDefault="00F27763">
      <w:r>
        <w:separator/>
      </w:r>
    </w:p>
  </w:footnote>
  <w:footnote w:type="continuationSeparator" w:id="0">
    <w:p w14:paraId="65638889" w14:textId="77777777" w:rsidR="00F27763" w:rsidRDefault="00F27763">
      <w:r>
        <w:continuationSeparator/>
      </w:r>
    </w:p>
  </w:footnote>
  <w:footnote w:type="continuationNotice" w:id="1">
    <w:p w14:paraId="7D76C675" w14:textId="77777777" w:rsidR="00F27763" w:rsidRDefault="00F2776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06E3D"/>
    <w:multiLevelType w:val="hybridMultilevel"/>
    <w:tmpl w:val="C9C2B68C"/>
    <w:lvl w:ilvl="0" w:tplc="A98E2408">
      <w:start w:val="1"/>
      <w:numFmt w:val="bullet"/>
      <w:lvlText w:val="•"/>
      <w:lvlJc w:val="left"/>
      <w:pPr>
        <w:tabs>
          <w:tab w:val="num" w:pos="720"/>
        </w:tabs>
        <w:ind w:left="720" w:hanging="360"/>
      </w:pPr>
      <w:rPr>
        <w:rFonts w:ascii="Arial" w:hAnsi="Arial" w:hint="default"/>
      </w:rPr>
    </w:lvl>
    <w:lvl w:ilvl="1" w:tplc="C038C400">
      <w:numFmt w:val="bullet"/>
      <w:lvlText w:val=""/>
      <w:lvlJc w:val="left"/>
      <w:pPr>
        <w:tabs>
          <w:tab w:val="num" w:pos="1440"/>
        </w:tabs>
        <w:ind w:left="1440" w:hanging="360"/>
      </w:pPr>
      <w:rPr>
        <w:rFonts w:ascii="Wingdings" w:hAnsi="Wingdings" w:hint="default"/>
      </w:rPr>
    </w:lvl>
    <w:lvl w:ilvl="2" w:tplc="E6CEF9FE" w:tentative="1">
      <w:start w:val="1"/>
      <w:numFmt w:val="bullet"/>
      <w:lvlText w:val="•"/>
      <w:lvlJc w:val="left"/>
      <w:pPr>
        <w:tabs>
          <w:tab w:val="num" w:pos="2160"/>
        </w:tabs>
        <w:ind w:left="2160" w:hanging="360"/>
      </w:pPr>
      <w:rPr>
        <w:rFonts w:ascii="Arial" w:hAnsi="Arial" w:hint="default"/>
      </w:rPr>
    </w:lvl>
    <w:lvl w:ilvl="3" w:tplc="16D68270" w:tentative="1">
      <w:start w:val="1"/>
      <w:numFmt w:val="bullet"/>
      <w:lvlText w:val="•"/>
      <w:lvlJc w:val="left"/>
      <w:pPr>
        <w:tabs>
          <w:tab w:val="num" w:pos="2880"/>
        </w:tabs>
        <w:ind w:left="2880" w:hanging="360"/>
      </w:pPr>
      <w:rPr>
        <w:rFonts w:ascii="Arial" w:hAnsi="Arial" w:hint="default"/>
      </w:rPr>
    </w:lvl>
    <w:lvl w:ilvl="4" w:tplc="60E6D1FE" w:tentative="1">
      <w:start w:val="1"/>
      <w:numFmt w:val="bullet"/>
      <w:lvlText w:val="•"/>
      <w:lvlJc w:val="left"/>
      <w:pPr>
        <w:tabs>
          <w:tab w:val="num" w:pos="3600"/>
        </w:tabs>
        <w:ind w:left="3600" w:hanging="360"/>
      </w:pPr>
      <w:rPr>
        <w:rFonts w:ascii="Arial" w:hAnsi="Arial" w:hint="default"/>
      </w:rPr>
    </w:lvl>
    <w:lvl w:ilvl="5" w:tplc="A1E20BA0" w:tentative="1">
      <w:start w:val="1"/>
      <w:numFmt w:val="bullet"/>
      <w:lvlText w:val="•"/>
      <w:lvlJc w:val="left"/>
      <w:pPr>
        <w:tabs>
          <w:tab w:val="num" w:pos="4320"/>
        </w:tabs>
        <w:ind w:left="4320" w:hanging="360"/>
      </w:pPr>
      <w:rPr>
        <w:rFonts w:ascii="Arial" w:hAnsi="Arial" w:hint="default"/>
      </w:rPr>
    </w:lvl>
    <w:lvl w:ilvl="6" w:tplc="7E40DF2E" w:tentative="1">
      <w:start w:val="1"/>
      <w:numFmt w:val="bullet"/>
      <w:lvlText w:val="•"/>
      <w:lvlJc w:val="left"/>
      <w:pPr>
        <w:tabs>
          <w:tab w:val="num" w:pos="5040"/>
        </w:tabs>
        <w:ind w:left="5040" w:hanging="360"/>
      </w:pPr>
      <w:rPr>
        <w:rFonts w:ascii="Arial" w:hAnsi="Arial" w:hint="default"/>
      </w:rPr>
    </w:lvl>
    <w:lvl w:ilvl="7" w:tplc="97BEB8E0" w:tentative="1">
      <w:start w:val="1"/>
      <w:numFmt w:val="bullet"/>
      <w:lvlText w:val="•"/>
      <w:lvlJc w:val="left"/>
      <w:pPr>
        <w:tabs>
          <w:tab w:val="num" w:pos="5760"/>
        </w:tabs>
        <w:ind w:left="5760" w:hanging="360"/>
      </w:pPr>
      <w:rPr>
        <w:rFonts w:ascii="Arial" w:hAnsi="Arial" w:hint="default"/>
      </w:rPr>
    </w:lvl>
    <w:lvl w:ilvl="8" w:tplc="DEEE12E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3"/>
  </w:num>
  <w:num w:numId="4">
    <w:abstractNumId w:val="1"/>
  </w:num>
  <w:num w:numId="5">
    <w:abstractNumId w:val="28"/>
  </w:num>
  <w:num w:numId="6">
    <w:abstractNumId w:val="5"/>
  </w:num>
  <w:num w:numId="7">
    <w:abstractNumId w:val="22"/>
  </w:num>
  <w:num w:numId="8">
    <w:abstractNumId w:val="26"/>
  </w:num>
  <w:num w:numId="9">
    <w:abstractNumId w:val="22"/>
  </w:num>
  <w:num w:numId="10">
    <w:abstractNumId w:val="23"/>
  </w:num>
  <w:num w:numId="11">
    <w:abstractNumId w:val="15"/>
  </w:num>
  <w:num w:numId="12">
    <w:abstractNumId w:val="21"/>
  </w:num>
  <w:num w:numId="13">
    <w:abstractNumId w:val="22"/>
  </w:num>
  <w:num w:numId="14">
    <w:abstractNumId w:val="27"/>
  </w:num>
  <w:num w:numId="15">
    <w:abstractNumId w:val="24"/>
  </w:num>
  <w:num w:numId="16">
    <w:abstractNumId w:val="22"/>
  </w:num>
  <w:num w:numId="17">
    <w:abstractNumId w:val="20"/>
  </w:num>
  <w:num w:numId="18">
    <w:abstractNumId w:val="14"/>
  </w:num>
  <w:num w:numId="19">
    <w:abstractNumId w:val="17"/>
  </w:num>
  <w:num w:numId="20">
    <w:abstractNumId w:val="4"/>
  </w:num>
  <w:num w:numId="21">
    <w:abstractNumId w:val="2"/>
  </w:num>
  <w:num w:numId="22">
    <w:abstractNumId w:val="9"/>
  </w:num>
  <w:num w:numId="23">
    <w:abstractNumId w:val="19"/>
  </w:num>
  <w:num w:numId="24">
    <w:abstractNumId w:val="3"/>
  </w:num>
  <w:num w:numId="25">
    <w:abstractNumId w:val="25"/>
  </w:num>
  <w:num w:numId="26">
    <w:abstractNumId w:val="16"/>
  </w:num>
  <w:num w:numId="27">
    <w:abstractNumId w:val="6"/>
  </w:num>
  <w:num w:numId="28">
    <w:abstractNumId w:val="8"/>
  </w:num>
  <w:num w:numId="29">
    <w:abstractNumId w:val="10"/>
  </w:num>
  <w:num w:numId="30">
    <w:abstractNumId w:val="22"/>
  </w:num>
  <w:num w:numId="31">
    <w:abstractNumId w:val="22"/>
  </w:num>
  <w:num w:numId="32">
    <w:abstractNumId w:val="18"/>
  </w:num>
  <w:num w:numId="33">
    <w:abstractNumId w:val="22"/>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380"/>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2E43"/>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06C"/>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AB9"/>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1BE"/>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F12"/>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60"/>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427"/>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909">
      <w:bodyDiv w:val="1"/>
      <w:marLeft w:val="0"/>
      <w:marRight w:val="0"/>
      <w:marTop w:val="0"/>
      <w:marBottom w:val="0"/>
      <w:divBdr>
        <w:top w:val="none" w:sz="0" w:space="0" w:color="auto"/>
        <w:left w:val="none" w:sz="0" w:space="0" w:color="auto"/>
        <w:bottom w:val="none" w:sz="0" w:space="0" w:color="auto"/>
        <w:right w:val="none" w:sz="0" w:space="0" w:color="auto"/>
      </w:divBdr>
      <w:divsChild>
        <w:div w:id="478574064">
          <w:marLeft w:val="360"/>
          <w:marRight w:val="0"/>
          <w:marTop w:val="200"/>
          <w:marBottom w:val="0"/>
          <w:divBdr>
            <w:top w:val="none" w:sz="0" w:space="0" w:color="auto"/>
            <w:left w:val="none" w:sz="0" w:space="0" w:color="auto"/>
            <w:bottom w:val="none" w:sz="0" w:space="0" w:color="auto"/>
            <w:right w:val="none" w:sz="0" w:space="0" w:color="auto"/>
          </w:divBdr>
        </w:div>
        <w:div w:id="579872499">
          <w:marLeft w:val="1080"/>
          <w:marRight w:val="0"/>
          <w:marTop w:val="100"/>
          <w:marBottom w:val="0"/>
          <w:divBdr>
            <w:top w:val="none" w:sz="0" w:space="0" w:color="auto"/>
            <w:left w:val="none" w:sz="0" w:space="0" w:color="auto"/>
            <w:bottom w:val="none" w:sz="0" w:space="0" w:color="auto"/>
            <w:right w:val="none" w:sz="0" w:space="0" w:color="auto"/>
          </w:divBdr>
        </w:div>
        <w:div w:id="864750849">
          <w:marLeft w:val="360"/>
          <w:marRight w:val="0"/>
          <w:marTop w:val="200"/>
          <w:marBottom w:val="0"/>
          <w:divBdr>
            <w:top w:val="none" w:sz="0" w:space="0" w:color="auto"/>
            <w:left w:val="none" w:sz="0" w:space="0" w:color="auto"/>
            <w:bottom w:val="none" w:sz="0" w:space="0" w:color="auto"/>
            <w:right w:val="none" w:sz="0" w:space="0" w:color="auto"/>
          </w:divBdr>
        </w:div>
        <w:div w:id="246234455">
          <w:marLeft w:val="1080"/>
          <w:marRight w:val="0"/>
          <w:marTop w:val="1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1514395">
      <w:bodyDiv w:val="1"/>
      <w:marLeft w:val="0"/>
      <w:marRight w:val="0"/>
      <w:marTop w:val="0"/>
      <w:marBottom w:val="0"/>
      <w:divBdr>
        <w:top w:val="none" w:sz="0" w:space="0" w:color="auto"/>
        <w:left w:val="none" w:sz="0" w:space="0" w:color="auto"/>
        <w:bottom w:val="none" w:sz="0" w:space="0" w:color="auto"/>
        <w:right w:val="none" w:sz="0" w:space="0" w:color="auto"/>
      </w:divBdr>
      <w:divsChild>
        <w:div w:id="64649543">
          <w:marLeft w:val="360"/>
          <w:marRight w:val="0"/>
          <w:marTop w:val="200"/>
          <w:marBottom w:val="0"/>
          <w:divBdr>
            <w:top w:val="none" w:sz="0" w:space="0" w:color="auto"/>
            <w:left w:val="none" w:sz="0" w:space="0" w:color="auto"/>
            <w:bottom w:val="none" w:sz="0" w:space="0" w:color="auto"/>
            <w:right w:val="none" w:sz="0" w:space="0" w:color="auto"/>
          </w:divBdr>
        </w:div>
        <w:div w:id="1128816691">
          <w:marLeft w:val="1080"/>
          <w:marRight w:val="0"/>
          <w:marTop w:val="100"/>
          <w:marBottom w:val="0"/>
          <w:divBdr>
            <w:top w:val="none" w:sz="0" w:space="0" w:color="auto"/>
            <w:left w:val="none" w:sz="0" w:space="0" w:color="auto"/>
            <w:bottom w:val="none" w:sz="0" w:space="0" w:color="auto"/>
            <w:right w:val="none" w:sz="0" w:space="0" w:color="auto"/>
          </w:divBdr>
        </w:div>
        <w:div w:id="1049574600">
          <w:marLeft w:val="360"/>
          <w:marRight w:val="0"/>
          <w:marTop w:val="200"/>
          <w:marBottom w:val="0"/>
          <w:divBdr>
            <w:top w:val="none" w:sz="0" w:space="0" w:color="auto"/>
            <w:left w:val="none" w:sz="0" w:space="0" w:color="auto"/>
            <w:bottom w:val="none" w:sz="0" w:space="0" w:color="auto"/>
            <w:right w:val="none" w:sz="0" w:space="0" w:color="auto"/>
          </w:divBdr>
        </w:div>
        <w:div w:id="1337073676">
          <w:marLeft w:val="1080"/>
          <w:marRight w:val="0"/>
          <w:marTop w:val="100"/>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CF5B3-906E-4FD7-8477-F63ABE19F144}">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5780B92-D0E7-4C5F-9B10-ACEF515A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5776</TotalTime>
  <Pages>2</Pages>
  <Words>212</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297</cp:revision>
  <cp:lastPrinted>2018-02-12T13:00:00Z</cp:lastPrinted>
  <dcterms:created xsi:type="dcterms:W3CDTF">2020-02-14T17:33:00Z</dcterms:created>
  <dcterms:modified xsi:type="dcterms:W3CDTF">2021-01-15T15:03:00Z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